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0" w:type="dxa"/>
          <w:right w:w="0" w:type="dxa"/>
        </w:tblCellMar>
        <w:tblLook w:val="04A0" w:firstRow="1" w:lastRow="0" w:firstColumn="1" w:lastColumn="0" w:noHBand="0" w:noVBand="1"/>
      </w:tblPr>
      <w:tblGrid>
        <w:gridCol w:w="9026"/>
      </w:tblGrid>
      <w:tr w:rsidR="00D33AFC" w:rsidRPr="00D33AFC" w14:paraId="1F41D064" w14:textId="77777777" w:rsidTr="00D33AFC">
        <w:trPr>
          <w:jc w:val="center"/>
        </w:trPr>
        <w:tc>
          <w:tcPr>
            <w:tcW w:w="0" w:type="auto"/>
            <w:tcBorders>
              <w:top w:val="nil"/>
              <w:left w:val="nil"/>
              <w:bottom w:val="nil"/>
              <w:right w:val="nil"/>
            </w:tcBorders>
            <w:tcMar>
              <w:top w:w="150" w:type="dxa"/>
              <w:left w:w="300" w:type="dxa"/>
              <w:bottom w:w="150" w:type="dxa"/>
              <w:right w:w="300" w:type="dxa"/>
            </w:tcMar>
            <w:hideMark/>
          </w:tcPr>
          <w:p w14:paraId="3818820C" w14:textId="77777777" w:rsidR="00D33AFC" w:rsidRPr="00D33AFC" w:rsidRDefault="00D33AFC" w:rsidP="00D33AFC">
            <w:pPr>
              <w:jc w:val="center"/>
              <w:rPr>
                <w:sz w:val="28"/>
                <w:szCs w:val="28"/>
              </w:rPr>
            </w:pPr>
            <w:r w:rsidRPr="00D33AFC">
              <w:rPr>
                <w:b/>
                <w:bCs/>
                <w:sz w:val="28"/>
                <w:szCs w:val="28"/>
              </w:rPr>
              <w:t>Festival of Remembrance 2025 - Important Changes to the Ticketing Process</w:t>
            </w:r>
          </w:p>
        </w:tc>
      </w:tr>
    </w:tbl>
    <w:p w14:paraId="3AE4517D" w14:textId="77777777" w:rsidR="00D33AFC" w:rsidRPr="00D33AFC" w:rsidRDefault="00D33AFC" w:rsidP="00D33AFC">
      <w:pPr>
        <w:rPr>
          <w:vanish/>
        </w:rPr>
      </w:pPr>
    </w:p>
    <w:tbl>
      <w:tblPr>
        <w:tblW w:w="5000" w:type="pct"/>
        <w:jc w:val="center"/>
        <w:tblCellMar>
          <w:left w:w="0" w:type="dxa"/>
          <w:right w:w="0" w:type="dxa"/>
        </w:tblCellMar>
        <w:tblLook w:val="04A0" w:firstRow="1" w:lastRow="0" w:firstColumn="1" w:lastColumn="0" w:noHBand="0" w:noVBand="1"/>
      </w:tblPr>
      <w:tblGrid>
        <w:gridCol w:w="9026"/>
      </w:tblGrid>
      <w:tr w:rsidR="00D33AFC" w:rsidRPr="00D33AFC" w14:paraId="73673598" w14:textId="77777777" w:rsidTr="00D33AFC">
        <w:trPr>
          <w:trHeight w:val="10393"/>
          <w:jc w:val="center"/>
        </w:trPr>
        <w:tc>
          <w:tcPr>
            <w:tcW w:w="0" w:type="auto"/>
            <w:tcBorders>
              <w:top w:val="nil"/>
              <w:left w:val="nil"/>
              <w:bottom w:val="nil"/>
              <w:right w:val="nil"/>
            </w:tcBorders>
            <w:tcMar>
              <w:top w:w="150" w:type="dxa"/>
              <w:left w:w="300" w:type="dxa"/>
              <w:bottom w:w="150" w:type="dxa"/>
              <w:right w:w="300" w:type="dxa"/>
            </w:tcMar>
            <w:hideMark/>
          </w:tcPr>
          <w:p w14:paraId="6BCFFCA2" w14:textId="396BCD05" w:rsidR="00D33AFC" w:rsidRPr="00D33AFC" w:rsidRDefault="00D33AFC" w:rsidP="00D33AFC">
            <w:r w:rsidRPr="00D33AFC">
              <w:rPr>
                <w:b/>
                <w:bCs/>
              </w:rPr>
              <w:t>Festival of Remembrance 2025</w:t>
            </w:r>
            <w:r w:rsidRPr="00D33AFC">
              <w:t>.</w:t>
            </w:r>
          </w:p>
          <w:p w14:paraId="35CD653C" w14:textId="77777777" w:rsidR="00D33AFC" w:rsidRPr="00D33AFC" w:rsidRDefault="00D33AFC" w:rsidP="00D33AFC">
            <w:r w:rsidRPr="00D33AFC">
              <w:t>In response to a motion proposed at Annual Conference 2024, and a subsequent review of the ticketing process, we are pleased to announce that ticketing will now be conducted through a ballot. This is to enhance the ticketing process for members and to ensure fairness, accessibility and inclusivity.</w:t>
            </w:r>
          </w:p>
          <w:p w14:paraId="68B4B659" w14:textId="77777777" w:rsidR="00D33AFC" w:rsidRPr="00D33AFC" w:rsidRDefault="00D33AFC" w:rsidP="00D33AFC">
            <w:r w:rsidRPr="00D33AFC">
              <w:rPr>
                <w:b/>
                <w:bCs/>
              </w:rPr>
              <w:t>Key changes:</w:t>
            </w:r>
          </w:p>
          <w:p w14:paraId="77C45DFA" w14:textId="77777777" w:rsidR="00D33AFC" w:rsidRPr="00D33AFC" w:rsidRDefault="00D33AFC" w:rsidP="00D33AFC">
            <w:pPr>
              <w:numPr>
                <w:ilvl w:val="0"/>
                <w:numId w:val="1"/>
              </w:numPr>
            </w:pPr>
            <w:r w:rsidRPr="00D33AFC">
              <w:t>Instead of tickets being bought on a first-come-first-served basis, members</w:t>
            </w:r>
            <w:r w:rsidRPr="00D33AFC">
              <w:rPr>
                <w:b/>
                <w:bCs/>
              </w:rPr>
              <w:t> </w:t>
            </w:r>
            <w:r w:rsidRPr="00D33AFC">
              <w:t>will have</w:t>
            </w:r>
            <w:r w:rsidRPr="00D33AFC">
              <w:rPr>
                <w:b/>
                <w:bCs/>
              </w:rPr>
              <w:t> three weeks to enter a ballot</w:t>
            </w:r>
            <w:r w:rsidRPr="00D33AFC">
              <w:t> for a chance to secure tickets through an </w:t>
            </w:r>
            <w:r w:rsidRPr="00D33AFC">
              <w:rPr>
                <w:b/>
                <w:bCs/>
              </w:rPr>
              <w:t>online platform</w:t>
            </w:r>
            <w:r w:rsidRPr="00D33AFC">
              <w:t>. This is to ensure that more members have a chance to secure tickets.</w:t>
            </w:r>
          </w:p>
          <w:p w14:paraId="4356445E" w14:textId="77777777" w:rsidR="00D33AFC" w:rsidRPr="00D33AFC" w:rsidRDefault="00D33AFC" w:rsidP="00D33AFC">
            <w:pPr>
              <w:numPr>
                <w:ilvl w:val="0"/>
                <w:numId w:val="1"/>
              </w:numPr>
            </w:pPr>
            <w:r w:rsidRPr="00D33AFC">
              <w:t>After the ballot closes, tickets will be allocated randomly by the online system.</w:t>
            </w:r>
          </w:p>
          <w:p w14:paraId="5F89B06D" w14:textId="77777777" w:rsidR="00D33AFC" w:rsidRPr="00D33AFC" w:rsidRDefault="00D33AFC" w:rsidP="00D33AFC">
            <w:pPr>
              <w:numPr>
                <w:ilvl w:val="0"/>
                <w:numId w:val="1"/>
              </w:numPr>
            </w:pPr>
            <w:r w:rsidRPr="00D33AFC">
              <w:t>Unique payment links will be issued to successful applicants, providing a secure and streamlined payment process.</w:t>
            </w:r>
          </w:p>
          <w:p w14:paraId="40421D1D" w14:textId="77777777" w:rsidR="00D33AFC" w:rsidRPr="00D33AFC" w:rsidRDefault="00D33AFC" w:rsidP="00D33AFC">
            <w:pPr>
              <w:numPr>
                <w:ilvl w:val="0"/>
                <w:numId w:val="1"/>
              </w:numPr>
            </w:pPr>
            <w:r w:rsidRPr="00D33AFC">
              <w:t>Clear communication will be provided on </w:t>
            </w:r>
            <w:r w:rsidRPr="00D33AFC">
              <w:rPr>
                <w:b/>
                <w:bCs/>
              </w:rPr>
              <w:t>key dates</w:t>
            </w:r>
            <w:r w:rsidRPr="00D33AFC">
              <w:t> and deadlines to help members stay informed.</w:t>
            </w:r>
          </w:p>
          <w:p w14:paraId="4363C15E" w14:textId="77777777" w:rsidR="00D33AFC" w:rsidRPr="00D33AFC" w:rsidRDefault="00D33AFC" w:rsidP="00D33AFC">
            <w:pPr>
              <w:numPr>
                <w:ilvl w:val="0"/>
                <w:numId w:val="1"/>
              </w:numPr>
            </w:pPr>
            <w:r w:rsidRPr="00D33AFC">
              <w:t>Members will be able to purchase a maximum of two tickets for either the afternoon or the evening performance.</w:t>
            </w:r>
          </w:p>
          <w:p w14:paraId="0319A282" w14:textId="77777777" w:rsidR="00D33AFC" w:rsidRPr="00D33AFC" w:rsidRDefault="00D33AFC" w:rsidP="00D33AFC">
            <w:r w:rsidRPr="00D33AFC">
              <w:rPr>
                <w:b/>
                <w:bCs/>
              </w:rPr>
              <w:t>You will need the following information to enter the ballot registration of interest form when it opens:</w:t>
            </w:r>
          </w:p>
          <w:p w14:paraId="79AE6D55" w14:textId="77777777" w:rsidR="00D33AFC" w:rsidRDefault="00D33AFC" w:rsidP="00D33AFC">
            <w:pPr>
              <w:numPr>
                <w:ilvl w:val="0"/>
                <w:numId w:val="2"/>
              </w:numPr>
            </w:pPr>
            <w:r w:rsidRPr="00D33AFC">
              <w:rPr>
                <w:b/>
                <w:bCs/>
              </w:rPr>
              <w:t>Your membership number</w:t>
            </w:r>
            <w:r w:rsidRPr="00D33AFC">
              <w:t> - this consists of all numbers and can be found on your membership card or on your renewal letter reminder (example below). If you cannot find your membership number, please contact Membership Services at </w:t>
            </w:r>
            <w:hyperlink r:id="rId5" w:tgtFrame="_blank" w:tooltip="Membership Services email" w:history="1">
              <w:r w:rsidRPr="00D33AFC">
                <w:rPr>
                  <w:rStyle w:val="Hyperlink"/>
                </w:rPr>
                <w:t>membershipservices@britishlegion.org.uk</w:t>
              </w:r>
            </w:hyperlink>
            <w:r w:rsidRPr="00D33AFC">
              <w:t>.</w:t>
            </w:r>
          </w:p>
          <w:p w14:paraId="097BF4B3" w14:textId="33A54F1D" w:rsidR="00D33AFC" w:rsidRPr="00D33AFC" w:rsidRDefault="00D33AFC" w:rsidP="00D33AFC">
            <w:pPr>
              <w:numPr>
                <w:ilvl w:val="0"/>
                <w:numId w:val="2"/>
              </w:numPr>
            </w:pPr>
            <w:r w:rsidRPr="00D33AFC">
              <w:drawing>
                <wp:inline distT="0" distB="0" distL="0" distR="0" wp14:anchorId="67D8E17A" wp14:editId="1D6BFCE8">
                  <wp:extent cx="3831590" cy="1539240"/>
                  <wp:effectExtent l="0" t="0" r="0" b="3810"/>
                  <wp:docPr id="10863675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36163" cy="1541077"/>
                          </a:xfrm>
                          <a:prstGeom prst="rect">
                            <a:avLst/>
                          </a:prstGeom>
                          <a:noFill/>
                          <a:ln>
                            <a:noFill/>
                          </a:ln>
                        </pic:spPr>
                      </pic:pic>
                    </a:graphicData>
                  </a:graphic>
                </wp:inline>
              </w:drawing>
            </w:r>
          </w:p>
        </w:tc>
      </w:tr>
    </w:tbl>
    <w:p w14:paraId="597FEC63" w14:textId="77777777" w:rsidR="00D33AFC" w:rsidRPr="00D33AFC" w:rsidRDefault="00D33AFC" w:rsidP="00D33AFC">
      <w:pPr>
        <w:rPr>
          <w:vanish/>
        </w:rPr>
      </w:pPr>
    </w:p>
    <w:tbl>
      <w:tblPr>
        <w:tblW w:w="5000" w:type="pct"/>
        <w:jc w:val="center"/>
        <w:tblCellMar>
          <w:left w:w="0" w:type="dxa"/>
          <w:right w:w="0" w:type="dxa"/>
        </w:tblCellMar>
        <w:tblLook w:val="04A0" w:firstRow="1" w:lastRow="0" w:firstColumn="1" w:lastColumn="0" w:noHBand="0" w:noVBand="1"/>
      </w:tblPr>
      <w:tblGrid>
        <w:gridCol w:w="9026"/>
      </w:tblGrid>
      <w:tr w:rsidR="00D33AFC" w:rsidRPr="00D33AFC" w14:paraId="5D81313E" w14:textId="77777777" w:rsidTr="00D33AFC">
        <w:trPr>
          <w:jc w:val="center"/>
        </w:trPr>
        <w:tc>
          <w:tcPr>
            <w:tcW w:w="0" w:type="auto"/>
            <w:tcBorders>
              <w:top w:val="nil"/>
              <w:left w:val="nil"/>
              <w:bottom w:val="nil"/>
              <w:right w:val="nil"/>
            </w:tcBorders>
            <w:tcMar>
              <w:top w:w="150" w:type="dxa"/>
              <w:left w:w="300" w:type="dxa"/>
              <w:bottom w:w="150" w:type="dxa"/>
              <w:right w:w="300" w:type="dxa"/>
            </w:tcMar>
            <w:vAlign w:val="center"/>
            <w:hideMark/>
          </w:tcPr>
          <w:p w14:paraId="1B9C7D57" w14:textId="74AC408A" w:rsidR="00D33AFC" w:rsidRPr="00D33AFC" w:rsidRDefault="00D33AFC" w:rsidP="00D33AFC"/>
        </w:tc>
      </w:tr>
    </w:tbl>
    <w:p w14:paraId="404B1208" w14:textId="77777777" w:rsidR="00D33AFC" w:rsidRPr="00D33AFC" w:rsidRDefault="00D33AFC" w:rsidP="00D33AFC">
      <w:pPr>
        <w:rPr>
          <w:vanish/>
        </w:rPr>
      </w:pPr>
    </w:p>
    <w:tbl>
      <w:tblPr>
        <w:tblW w:w="5000" w:type="pct"/>
        <w:jc w:val="center"/>
        <w:tblCellMar>
          <w:left w:w="0" w:type="dxa"/>
          <w:right w:w="0" w:type="dxa"/>
        </w:tblCellMar>
        <w:tblLook w:val="04A0" w:firstRow="1" w:lastRow="0" w:firstColumn="1" w:lastColumn="0" w:noHBand="0" w:noVBand="1"/>
      </w:tblPr>
      <w:tblGrid>
        <w:gridCol w:w="9026"/>
      </w:tblGrid>
      <w:tr w:rsidR="00D33AFC" w:rsidRPr="00D33AFC" w14:paraId="08D8CB9E" w14:textId="77777777" w:rsidTr="00D33AFC">
        <w:trPr>
          <w:jc w:val="center"/>
        </w:trPr>
        <w:tc>
          <w:tcPr>
            <w:tcW w:w="0" w:type="auto"/>
            <w:tcBorders>
              <w:top w:val="nil"/>
              <w:left w:val="nil"/>
              <w:bottom w:val="nil"/>
              <w:right w:val="nil"/>
            </w:tcBorders>
            <w:tcMar>
              <w:top w:w="150" w:type="dxa"/>
              <w:left w:w="300" w:type="dxa"/>
              <w:bottom w:w="150" w:type="dxa"/>
              <w:right w:w="300" w:type="dxa"/>
            </w:tcMar>
            <w:hideMark/>
          </w:tcPr>
          <w:p w14:paraId="1AFF9613" w14:textId="77777777" w:rsidR="00D33AFC" w:rsidRPr="00D33AFC" w:rsidRDefault="00D33AFC" w:rsidP="00D33AFC">
            <w:pPr>
              <w:numPr>
                <w:ilvl w:val="0"/>
                <w:numId w:val="3"/>
              </w:numPr>
            </w:pPr>
            <w:r w:rsidRPr="00D33AFC">
              <w:rPr>
                <w:b/>
                <w:bCs/>
              </w:rPr>
              <w:lastRenderedPageBreak/>
              <w:t>A valid email address</w:t>
            </w:r>
            <w:r w:rsidRPr="00D33AFC">
              <w:t> - ensure your registered email address is up to date, as all ballot communications will be sent via email. If you do not have your own email address, you can use one that belongs to someone else who has agreed to receive emails on your behalf e.g. a family member, trusted friend or neighbour.</w:t>
            </w:r>
          </w:p>
          <w:p w14:paraId="0DD432D3" w14:textId="77777777" w:rsidR="00D33AFC" w:rsidRPr="00D33AFC" w:rsidRDefault="00D33AFC" w:rsidP="00D33AFC">
            <w:r w:rsidRPr="00D33AFC">
              <w:rPr>
                <w:b/>
                <w:bCs/>
              </w:rPr>
              <w:t>Ballot rules:</w:t>
            </w:r>
          </w:p>
          <w:p w14:paraId="20AE9382" w14:textId="77777777" w:rsidR="00D33AFC" w:rsidRPr="00D33AFC" w:rsidRDefault="00D33AFC" w:rsidP="00D33AFC">
            <w:pPr>
              <w:numPr>
                <w:ilvl w:val="0"/>
                <w:numId w:val="4"/>
              </w:numPr>
            </w:pPr>
            <w:r w:rsidRPr="00D33AFC">
              <w:t>Each member is allowed to enter the ballot once.</w:t>
            </w:r>
          </w:p>
          <w:p w14:paraId="645DA74F" w14:textId="77777777" w:rsidR="00D33AFC" w:rsidRPr="00D33AFC" w:rsidRDefault="00D33AFC" w:rsidP="00D33AFC">
            <w:pPr>
              <w:numPr>
                <w:ilvl w:val="0"/>
                <w:numId w:val="4"/>
              </w:numPr>
            </w:pPr>
            <w:r w:rsidRPr="00D33AFC">
              <w:t>Successful applicants will be notified by email.</w:t>
            </w:r>
          </w:p>
          <w:p w14:paraId="77E86DAB" w14:textId="77777777" w:rsidR="00D33AFC" w:rsidRPr="00D33AFC" w:rsidRDefault="00D33AFC" w:rsidP="00D33AFC">
            <w:pPr>
              <w:numPr>
                <w:ilvl w:val="0"/>
                <w:numId w:val="4"/>
              </w:numPr>
            </w:pPr>
            <w:r w:rsidRPr="00D33AFC">
              <w:t>Unique payment links will be single-use and </w:t>
            </w:r>
            <w:r w:rsidRPr="00D33AFC">
              <w:rPr>
                <w:b/>
                <w:bCs/>
              </w:rPr>
              <w:t>must be completed within seven days</w:t>
            </w:r>
            <w:r w:rsidRPr="00D33AFC">
              <w:t> from the date received.</w:t>
            </w:r>
          </w:p>
          <w:p w14:paraId="2AC42F82" w14:textId="77777777" w:rsidR="00D33AFC" w:rsidRPr="00D33AFC" w:rsidRDefault="00D33AFC" w:rsidP="00D33AFC">
            <w:pPr>
              <w:numPr>
                <w:ilvl w:val="0"/>
                <w:numId w:val="4"/>
              </w:numPr>
            </w:pPr>
            <w:r w:rsidRPr="00D33AFC">
              <w:t>Other Ballot Rules can be found </w:t>
            </w:r>
            <w:hyperlink r:id="rId7" w:tgtFrame="_blank" w:tooltip="Festival of Remembrance webpage" w:history="1">
              <w:r w:rsidRPr="00D33AFC">
                <w:rPr>
                  <w:rStyle w:val="Hyperlink"/>
                </w:rPr>
                <w:t>on our website</w:t>
              </w:r>
            </w:hyperlink>
            <w:r w:rsidRPr="00D33AFC">
              <w:t>.</w:t>
            </w:r>
          </w:p>
          <w:p w14:paraId="3E1CA65E" w14:textId="77777777" w:rsidR="00D33AFC" w:rsidRPr="00D33AFC" w:rsidRDefault="00D33AFC" w:rsidP="00D33AFC">
            <w:r w:rsidRPr="00D33AFC">
              <w:rPr>
                <w:b/>
                <w:bCs/>
              </w:rPr>
              <w:t>Key dates:</w:t>
            </w:r>
          </w:p>
          <w:p w14:paraId="6C2727A8" w14:textId="77777777" w:rsidR="00D33AFC" w:rsidRPr="00D33AFC" w:rsidRDefault="00D33AFC" w:rsidP="00D33AFC">
            <w:pPr>
              <w:numPr>
                <w:ilvl w:val="0"/>
                <w:numId w:val="5"/>
              </w:numPr>
            </w:pPr>
            <w:r w:rsidRPr="00D33AFC">
              <w:rPr>
                <w:b/>
                <w:bCs/>
              </w:rPr>
              <w:t>Ballot Registration Form opens:</w:t>
            </w:r>
            <w:r w:rsidRPr="00D33AFC">
              <w:t> Wednesday 4th June 2025</w:t>
            </w:r>
          </w:p>
          <w:p w14:paraId="35294B1F" w14:textId="77777777" w:rsidR="00D33AFC" w:rsidRPr="00D33AFC" w:rsidRDefault="00D33AFC" w:rsidP="00D33AFC">
            <w:pPr>
              <w:numPr>
                <w:ilvl w:val="0"/>
                <w:numId w:val="5"/>
              </w:numPr>
            </w:pPr>
            <w:r w:rsidRPr="00D33AFC">
              <w:rPr>
                <w:b/>
                <w:bCs/>
              </w:rPr>
              <w:t>Ballot Registration Form closes:</w:t>
            </w:r>
            <w:r w:rsidRPr="00D33AFC">
              <w:t> Tuesday 24th June 2025</w:t>
            </w:r>
          </w:p>
          <w:p w14:paraId="0C33BE1B" w14:textId="77777777" w:rsidR="00D33AFC" w:rsidRPr="00D33AFC" w:rsidRDefault="00D33AFC" w:rsidP="00D33AFC">
            <w:pPr>
              <w:numPr>
                <w:ilvl w:val="0"/>
                <w:numId w:val="5"/>
              </w:numPr>
            </w:pPr>
            <w:r w:rsidRPr="00D33AFC">
              <w:rPr>
                <w:b/>
                <w:bCs/>
              </w:rPr>
              <w:t>Ballot starts:</w:t>
            </w:r>
            <w:r w:rsidRPr="00D33AFC">
              <w:t> Wednesday 9th July 2025</w:t>
            </w:r>
          </w:p>
          <w:p w14:paraId="3810BD1E" w14:textId="77777777" w:rsidR="00D33AFC" w:rsidRPr="00D33AFC" w:rsidRDefault="00D33AFC" w:rsidP="00D33AFC">
            <w:pPr>
              <w:numPr>
                <w:ilvl w:val="0"/>
                <w:numId w:val="5"/>
              </w:numPr>
            </w:pPr>
            <w:r w:rsidRPr="00D33AFC">
              <w:rPr>
                <w:b/>
                <w:bCs/>
              </w:rPr>
              <w:t>Successful members notified from:</w:t>
            </w:r>
            <w:r w:rsidRPr="00D33AFC">
              <w:t> Thursday 10th July 2025</w:t>
            </w:r>
          </w:p>
          <w:p w14:paraId="75340149" w14:textId="77777777" w:rsidR="00D33AFC" w:rsidRPr="00D33AFC" w:rsidRDefault="00D33AFC" w:rsidP="00D33AFC">
            <w:pPr>
              <w:numPr>
                <w:ilvl w:val="0"/>
                <w:numId w:val="5"/>
              </w:numPr>
            </w:pPr>
            <w:r w:rsidRPr="00D33AFC">
              <w:rPr>
                <w:b/>
                <w:bCs/>
              </w:rPr>
              <w:t>Payment links sent from:</w:t>
            </w:r>
            <w:r w:rsidRPr="00D33AFC">
              <w:t> Thursday 10th July 2025</w:t>
            </w:r>
          </w:p>
          <w:p w14:paraId="6722421B" w14:textId="77777777" w:rsidR="00D33AFC" w:rsidRPr="00D33AFC" w:rsidRDefault="00D33AFC" w:rsidP="00D33AFC">
            <w:pPr>
              <w:numPr>
                <w:ilvl w:val="0"/>
                <w:numId w:val="5"/>
              </w:numPr>
            </w:pPr>
            <w:r w:rsidRPr="00D33AFC">
              <w:rPr>
                <w:b/>
                <w:bCs/>
              </w:rPr>
              <w:t>Payment deadline:</w:t>
            </w:r>
            <w:r w:rsidRPr="00D33AFC">
              <w:t> seven days from the date the payment link is received</w:t>
            </w:r>
          </w:p>
          <w:p w14:paraId="284EF7ED" w14:textId="77777777" w:rsidR="00D33AFC" w:rsidRPr="00D33AFC" w:rsidRDefault="00D33AFC" w:rsidP="00D33AFC">
            <w:pPr>
              <w:numPr>
                <w:ilvl w:val="0"/>
                <w:numId w:val="5"/>
              </w:numPr>
            </w:pPr>
            <w:r w:rsidRPr="00D33AFC">
              <w:rPr>
                <w:b/>
                <w:bCs/>
              </w:rPr>
              <w:t>Tickets distributed from: </w:t>
            </w:r>
            <w:r w:rsidRPr="00D33AFC">
              <w:t>Tuesday 28th October 2025</w:t>
            </w:r>
          </w:p>
          <w:p w14:paraId="62D7B8C8" w14:textId="77777777" w:rsidR="00D33AFC" w:rsidRPr="00D33AFC" w:rsidRDefault="00D33AFC" w:rsidP="00D33AFC">
            <w:r w:rsidRPr="00D33AFC">
              <w:t>We encourage all members to review the updated process on the RBL website and keep an eye out for further updates, including the launch of the ballot in June 2025.</w:t>
            </w:r>
          </w:p>
        </w:tc>
      </w:tr>
    </w:tbl>
    <w:p w14:paraId="000822A7" w14:textId="77777777" w:rsidR="00D33AFC" w:rsidRPr="00D33AFC" w:rsidRDefault="00D33AFC" w:rsidP="00D33AFC">
      <w:pPr>
        <w:rPr>
          <w:vanish/>
        </w:rPr>
      </w:pPr>
    </w:p>
    <w:tbl>
      <w:tblPr>
        <w:tblW w:w="5000" w:type="pct"/>
        <w:jc w:val="center"/>
        <w:tblCellMar>
          <w:left w:w="0" w:type="dxa"/>
          <w:right w:w="0" w:type="dxa"/>
        </w:tblCellMar>
        <w:tblLook w:val="04A0" w:firstRow="1" w:lastRow="0" w:firstColumn="1" w:lastColumn="0" w:noHBand="0" w:noVBand="1"/>
      </w:tblPr>
      <w:tblGrid>
        <w:gridCol w:w="9026"/>
      </w:tblGrid>
      <w:tr w:rsidR="00D33AFC" w:rsidRPr="00D33AFC" w14:paraId="4F13BDC3" w14:textId="77777777" w:rsidTr="00D33AFC">
        <w:trPr>
          <w:jc w:val="center"/>
        </w:trPr>
        <w:tc>
          <w:tcPr>
            <w:tcW w:w="0" w:type="auto"/>
            <w:tcMar>
              <w:top w:w="150" w:type="dxa"/>
              <w:left w:w="300" w:type="dxa"/>
              <w:bottom w:w="15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1842"/>
            </w:tblGrid>
            <w:tr w:rsidR="00D33AFC" w:rsidRPr="00D33AFC" w14:paraId="740B41B4" w14:textId="77777777">
              <w:trPr>
                <w:jc w:val="center"/>
              </w:trPr>
              <w:tc>
                <w:tcPr>
                  <w:tcW w:w="0" w:type="auto"/>
                  <w:shd w:val="clear" w:color="auto" w:fill="CB1B23"/>
                  <w:vAlign w:val="center"/>
                  <w:hideMark/>
                </w:tcPr>
                <w:p w14:paraId="53260143" w14:textId="77777777" w:rsidR="00D33AFC" w:rsidRPr="00D33AFC" w:rsidRDefault="00D33AFC" w:rsidP="00D33AFC">
                  <w:hyperlink r:id="rId8" w:tgtFrame="_blank" w:tooltip="View the website" w:history="1">
                    <w:r w:rsidRPr="00D33AFC">
                      <w:rPr>
                        <w:rStyle w:val="Hyperlink"/>
                        <w:b/>
                        <w:bCs/>
                      </w:rPr>
                      <w:t>View the website</w:t>
                    </w:r>
                  </w:hyperlink>
                </w:p>
              </w:tc>
            </w:tr>
          </w:tbl>
          <w:p w14:paraId="6EE4801D" w14:textId="77777777" w:rsidR="00D33AFC" w:rsidRPr="00D33AFC" w:rsidRDefault="00D33AFC" w:rsidP="00D33AFC"/>
        </w:tc>
      </w:tr>
    </w:tbl>
    <w:p w14:paraId="4363CAF7" w14:textId="77777777" w:rsidR="00D33AFC" w:rsidRPr="00D33AFC" w:rsidRDefault="00D33AFC" w:rsidP="00D33AFC">
      <w:pPr>
        <w:rPr>
          <w:vanish/>
        </w:rPr>
      </w:pPr>
    </w:p>
    <w:tbl>
      <w:tblPr>
        <w:tblW w:w="5000" w:type="pct"/>
        <w:jc w:val="center"/>
        <w:tblCellMar>
          <w:left w:w="0" w:type="dxa"/>
          <w:right w:w="0" w:type="dxa"/>
        </w:tblCellMar>
        <w:tblLook w:val="04A0" w:firstRow="1" w:lastRow="0" w:firstColumn="1" w:lastColumn="0" w:noHBand="0" w:noVBand="1"/>
      </w:tblPr>
      <w:tblGrid>
        <w:gridCol w:w="9026"/>
      </w:tblGrid>
      <w:tr w:rsidR="00D33AFC" w:rsidRPr="00D33AFC" w14:paraId="6E45CE01" w14:textId="77777777" w:rsidTr="00D33AFC">
        <w:trPr>
          <w:jc w:val="center"/>
        </w:trPr>
        <w:tc>
          <w:tcPr>
            <w:tcW w:w="0" w:type="auto"/>
            <w:tcBorders>
              <w:top w:val="nil"/>
              <w:left w:val="nil"/>
              <w:bottom w:val="nil"/>
              <w:right w:val="nil"/>
            </w:tcBorders>
            <w:tcMar>
              <w:top w:w="150" w:type="dxa"/>
              <w:left w:w="300" w:type="dxa"/>
              <w:bottom w:w="150" w:type="dxa"/>
              <w:right w:w="300" w:type="dxa"/>
            </w:tcMar>
            <w:hideMark/>
          </w:tcPr>
          <w:p w14:paraId="666E3980" w14:textId="77777777" w:rsidR="00D33AFC" w:rsidRPr="00D33AFC" w:rsidRDefault="00D33AFC" w:rsidP="00D33AFC">
            <w:r w:rsidRPr="00D33AFC">
              <w:t>Thank you for your support of the RBL, our beneficiaries and our Armed Forces community.</w:t>
            </w:r>
          </w:p>
          <w:p w14:paraId="0AF9BF5E" w14:textId="77777777" w:rsidR="00D33AFC" w:rsidRPr="00D33AFC" w:rsidRDefault="00D33AFC" w:rsidP="00D33AFC">
            <w:r w:rsidRPr="00D33AFC">
              <w:t>Kind regards,</w:t>
            </w:r>
          </w:p>
          <w:p w14:paraId="2A2F2907" w14:textId="77777777" w:rsidR="00D33AFC" w:rsidRPr="00D33AFC" w:rsidRDefault="00D33AFC" w:rsidP="00D33AFC">
            <w:r w:rsidRPr="00D33AFC">
              <w:rPr>
                <w:b/>
                <w:bCs/>
              </w:rPr>
              <w:t>The Membership Team</w:t>
            </w:r>
          </w:p>
        </w:tc>
      </w:tr>
    </w:tbl>
    <w:p w14:paraId="1AE79A57" w14:textId="77777777" w:rsidR="00D33AFC" w:rsidRDefault="00D33AFC"/>
    <w:sectPr w:rsidR="00D33A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C6441"/>
    <w:multiLevelType w:val="multilevel"/>
    <w:tmpl w:val="CD4A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970A41"/>
    <w:multiLevelType w:val="multilevel"/>
    <w:tmpl w:val="29FE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C27643"/>
    <w:multiLevelType w:val="multilevel"/>
    <w:tmpl w:val="9042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30409A"/>
    <w:multiLevelType w:val="multilevel"/>
    <w:tmpl w:val="2D10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D27DB4"/>
    <w:multiLevelType w:val="multilevel"/>
    <w:tmpl w:val="9040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9177149">
    <w:abstractNumId w:val="2"/>
  </w:num>
  <w:num w:numId="2" w16cid:durableId="1008870651">
    <w:abstractNumId w:val="4"/>
  </w:num>
  <w:num w:numId="3" w16cid:durableId="791871643">
    <w:abstractNumId w:val="3"/>
  </w:num>
  <w:num w:numId="4" w16cid:durableId="1264025555">
    <w:abstractNumId w:val="1"/>
  </w:num>
  <w:num w:numId="5" w16cid:durableId="194083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AFC"/>
    <w:rsid w:val="0065155B"/>
    <w:rsid w:val="00D33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0363E"/>
  <w15:chartTrackingRefBased/>
  <w15:docId w15:val="{BD0EA913-1886-4B86-993F-A34E7F1F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A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3A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3A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A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A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A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A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A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A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A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A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A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A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A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AFC"/>
    <w:rPr>
      <w:rFonts w:eastAsiaTheme="majorEastAsia" w:cstheme="majorBidi"/>
      <w:color w:val="272727" w:themeColor="text1" w:themeTint="D8"/>
    </w:rPr>
  </w:style>
  <w:style w:type="paragraph" w:styleId="Title">
    <w:name w:val="Title"/>
    <w:basedOn w:val="Normal"/>
    <w:next w:val="Normal"/>
    <w:link w:val="TitleChar"/>
    <w:uiPriority w:val="10"/>
    <w:qFormat/>
    <w:rsid w:val="00D33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A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AFC"/>
    <w:pPr>
      <w:spacing w:before="160"/>
      <w:jc w:val="center"/>
    </w:pPr>
    <w:rPr>
      <w:i/>
      <w:iCs/>
      <w:color w:val="404040" w:themeColor="text1" w:themeTint="BF"/>
    </w:rPr>
  </w:style>
  <w:style w:type="character" w:customStyle="1" w:styleId="QuoteChar">
    <w:name w:val="Quote Char"/>
    <w:basedOn w:val="DefaultParagraphFont"/>
    <w:link w:val="Quote"/>
    <w:uiPriority w:val="29"/>
    <w:rsid w:val="00D33AFC"/>
    <w:rPr>
      <w:i/>
      <w:iCs/>
      <w:color w:val="404040" w:themeColor="text1" w:themeTint="BF"/>
    </w:rPr>
  </w:style>
  <w:style w:type="paragraph" w:styleId="ListParagraph">
    <w:name w:val="List Paragraph"/>
    <w:basedOn w:val="Normal"/>
    <w:uiPriority w:val="34"/>
    <w:qFormat/>
    <w:rsid w:val="00D33AFC"/>
    <w:pPr>
      <w:ind w:left="720"/>
      <w:contextualSpacing/>
    </w:pPr>
  </w:style>
  <w:style w:type="character" w:styleId="IntenseEmphasis">
    <w:name w:val="Intense Emphasis"/>
    <w:basedOn w:val="DefaultParagraphFont"/>
    <w:uiPriority w:val="21"/>
    <w:qFormat/>
    <w:rsid w:val="00D33AFC"/>
    <w:rPr>
      <w:i/>
      <w:iCs/>
      <w:color w:val="0F4761" w:themeColor="accent1" w:themeShade="BF"/>
    </w:rPr>
  </w:style>
  <w:style w:type="paragraph" w:styleId="IntenseQuote">
    <w:name w:val="Intense Quote"/>
    <w:basedOn w:val="Normal"/>
    <w:next w:val="Normal"/>
    <w:link w:val="IntenseQuoteChar"/>
    <w:uiPriority w:val="30"/>
    <w:qFormat/>
    <w:rsid w:val="00D33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AFC"/>
    <w:rPr>
      <w:i/>
      <w:iCs/>
      <w:color w:val="0F4761" w:themeColor="accent1" w:themeShade="BF"/>
    </w:rPr>
  </w:style>
  <w:style w:type="character" w:styleId="IntenseReference">
    <w:name w:val="Intense Reference"/>
    <w:basedOn w:val="DefaultParagraphFont"/>
    <w:uiPriority w:val="32"/>
    <w:qFormat/>
    <w:rsid w:val="00D33AFC"/>
    <w:rPr>
      <w:b/>
      <w:bCs/>
      <w:smallCaps/>
      <w:color w:val="0F4761" w:themeColor="accent1" w:themeShade="BF"/>
      <w:spacing w:val="5"/>
    </w:rPr>
  </w:style>
  <w:style w:type="character" w:styleId="Hyperlink">
    <w:name w:val="Hyperlink"/>
    <w:basedOn w:val="DefaultParagraphFont"/>
    <w:uiPriority w:val="99"/>
    <w:unhideWhenUsed/>
    <w:rsid w:val="00D33AFC"/>
    <w:rPr>
      <w:color w:val="467886" w:themeColor="hyperlink"/>
      <w:u w:val="single"/>
    </w:rPr>
  </w:style>
  <w:style w:type="character" w:styleId="UnresolvedMention">
    <w:name w:val="Unresolved Mention"/>
    <w:basedOn w:val="DefaultParagraphFont"/>
    <w:uiPriority w:val="99"/>
    <w:semiHidden/>
    <w:unhideWhenUsed/>
    <w:rsid w:val="00D33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463892">
      <w:bodyDiv w:val="1"/>
      <w:marLeft w:val="0"/>
      <w:marRight w:val="0"/>
      <w:marTop w:val="0"/>
      <w:marBottom w:val="0"/>
      <w:divBdr>
        <w:top w:val="none" w:sz="0" w:space="0" w:color="auto"/>
        <w:left w:val="none" w:sz="0" w:space="0" w:color="auto"/>
        <w:bottom w:val="none" w:sz="0" w:space="0" w:color="auto"/>
        <w:right w:val="none" w:sz="0" w:space="0" w:color="auto"/>
      </w:divBdr>
      <w:divsChild>
        <w:div w:id="1929345456">
          <w:marLeft w:val="0"/>
          <w:marRight w:val="0"/>
          <w:marTop w:val="0"/>
          <w:marBottom w:val="0"/>
          <w:divBdr>
            <w:top w:val="none" w:sz="0" w:space="0" w:color="auto"/>
            <w:left w:val="none" w:sz="0" w:space="0" w:color="auto"/>
            <w:bottom w:val="none" w:sz="0" w:space="0" w:color="auto"/>
            <w:right w:val="none" w:sz="0" w:space="0" w:color="auto"/>
          </w:divBdr>
        </w:div>
        <w:div w:id="876240314">
          <w:marLeft w:val="0"/>
          <w:marRight w:val="0"/>
          <w:marTop w:val="0"/>
          <w:marBottom w:val="0"/>
          <w:divBdr>
            <w:top w:val="none" w:sz="0" w:space="0" w:color="auto"/>
            <w:left w:val="none" w:sz="0" w:space="0" w:color="auto"/>
            <w:bottom w:val="none" w:sz="0" w:space="0" w:color="auto"/>
            <w:right w:val="none" w:sz="0" w:space="0" w:color="auto"/>
          </w:divBdr>
        </w:div>
        <w:div w:id="845483390">
          <w:marLeft w:val="0"/>
          <w:marRight w:val="0"/>
          <w:marTop w:val="0"/>
          <w:marBottom w:val="0"/>
          <w:divBdr>
            <w:top w:val="none" w:sz="0" w:space="0" w:color="auto"/>
            <w:left w:val="none" w:sz="0" w:space="0" w:color="auto"/>
            <w:bottom w:val="none" w:sz="0" w:space="0" w:color="auto"/>
            <w:right w:val="none" w:sz="0" w:space="0" w:color="auto"/>
          </w:divBdr>
        </w:div>
        <w:div w:id="583879548">
          <w:marLeft w:val="0"/>
          <w:marRight w:val="0"/>
          <w:marTop w:val="0"/>
          <w:marBottom w:val="0"/>
          <w:divBdr>
            <w:top w:val="none" w:sz="0" w:space="0" w:color="auto"/>
            <w:left w:val="none" w:sz="0" w:space="0" w:color="auto"/>
            <w:bottom w:val="none" w:sz="0" w:space="0" w:color="auto"/>
            <w:right w:val="none" w:sz="0" w:space="0" w:color="auto"/>
          </w:divBdr>
        </w:div>
      </w:divsChild>
    </w:div>
    <w:div w:id="2093046983">
      <w:bodyDiv w:val="1"/>
      <w:marLeft w:val="0"/>
      <w:marRight w:val="0"/>
      <w:marTop w:val="0"/>
      <w:marBottom w:val="0"/>
      <w:divBdr>
        <w:top w:val="none" w:sz="0" w:space="0" w:color="auto"/>
        <w:left w:val="none" w:sz="0" w:space="0" w:color="auto"/>
        <w:bottom w:val="none" w:sz="0" w:space="0" w:color="auto"/>
        <w:right w:val="none" w:sz="0" w:space="0" w:color="auto"/>
      </w:divBdr>
      <w:divsChild>
        <w:div w:id="2123566849">
          <w:marLeft w:val="0"/>
          <w:marRight w:val="0"/>
          <w:marTop w:val="0"/>
          <w:marBottom w:val="0"/>
          <w:divBdr>
            <w:top w:val="none" w:sz="0" w:space="0" w:color="auto"/>
            <w:left w:val="none" w:sz="0" w:space="0" w:color="auto"/>
            <w:bottom w:val="none" w:sz="0" w:space="0" w:color="auto"/>
            <w:right w:val="none" w:sz="0" w:space="0" w:color="auto"/>
          </w:divBdr>
        </w:div>
        <w:div w:id="1511291137">
          <w:marLeft w:val="0"/>
          <w:marRight w:val="0"/>
          <w:marTop w:val="0"/>
          <w:marBottom w:val="0"/>
          <w:divBdr>
            <w:top w:val="none" w:sz="0" w:space="0" w:color="auto"/>
            <w:left w:val="none" w:sz="0" w:space="0" w:color="auto"/>
            <w:bottom w:val="none" w:sz="0" w:space="0" w:color="auto"/>
            <w:right w:val="none" w:sz="0" w:space="0" w:color="auto"/>
          </w:divBdr>
        </w:div>
        <w:div w:id="1064134534">
          <w:marLeft w:val="0"/>
          <w:marRight w:val="0"/>
          <w:marTop w:val="0"/>
          <w:marBottom w:val="0"/>
          <w:divBdr>
            <w:top w:val="none" w:sz="0" w:space="0" w:color="auto"/>
            <w:left w:val="none" w:sz="0" w:space="0" w:color="auto"/>
            <w:bottom w:val="none" w:sz="0" w:space="0" w:color="auto"/>
            <w:right w:val="none" w:sz="0" w:space="0" w:color="auto"/>
          </w:divBdr>
        </w:div>
        <w:div w:id="1541816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hip.britishlegion.org.uk/c/AQjLihYQnY9NGOyp5nAgqbCIB_xMiKt-dL15n-hQewGAHqVN8qmQwAG1-56edKhl2pCM" TargetMode="External"/><Relationship Id="rId3" Type="http://schemas.openxmlformats.org/officeDocument/2006/relationships/settings" Target="settings.xml"/><Relationship Id="rId7" Type="http://schemas.openxmlformats.org/officeDocument/2006/relationships/hyperlink" Target="https://membership.britishlegion.org.uk/c/AQjLihYQnY9NGOyp5nAgqLCIB1gm6fcXo5q32WOEXFyP695h8a5aOtQ2LbveNEB2EAj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membershipservices@britishlegion.org.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Law</dc:creator>
  <cp:keywords/>
  <dc:description/>
  <cp:lastModifiedBy>Roger Law</cp:lastModifiedBy>
  <cp:revision>1</cp:revision>
  <dcterms:created xsi:type="dcterms:W3CDTF">2025-05-01T17:14:00Z</dcterms:created>
  <dcterms:modified xsi:type="dcterms:W3CDTF">2025-05-01T17:22:00Z</dcterms:modified>
</cp:coreProperties>
</file>